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</w:rPr>
      </w:pPr>
      <w:r>
        <w:rPr>
          <w:b/>
          <w:bCs/>
        </w:rPr>
        <w:t>7.2. Предоставление субсидий из областного бюджета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Ульяновской области бюджетам поселений и городских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округов Ульяновской области в целях </w:t>
      </w:r>
      <w:proofErr w:type="spellStart"/>
      <w:r>
        <w:rPr>
          <w:b/>
          <w:bCs/>
        </w:rPr>
        <w:t>софинансирования</w:t>
      </w:r>
      <w:proofErr w:type="spellEnd"/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расходных обязательств, возникающих в связи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с организацией благоустройства дворовых территорий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многоквартирных домов, территорий общего пользования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(площадей, бульваров, улиц, набережных и парков)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</w:pPr>
      <w:r>
        <w:t>от 20.02.2019 N 4/62-П)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7.2.1. Субсидии предоставляются бюджетам поселений и городских округов Ульяновской области, в состав которых входят населенные пункты с численностью населения свыше 1000 человек.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7.2.2. Условиями предоставления субсидий из областного бюджета Ульяновской области бюджетам поселений и городских округов Ульяновской области являются: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 xml:space="preserve">1) наличие утвержденной органами местного самоуправления поселения или городского округа Ульяновской области муниципальной программы формирования комфортной городской среды на 2018 - 2022 годы, соответствующей </w:t>
      </w:r>
      <w:hyperlink r:id="rId6" w:history="1">
        <w:r>
          <w:rPr>
            <w:color w:val="0000FF"/>
          </w:rPr>
          <w:t>Правилам</w:t>
        </w:r>
      </w:hyperlink>
      <w: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 постановлением Правительства Российской Федерации от 10.02.2017 N 169;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2) наличие в бюджете поселения (городского округа) Ульяновской области бюджетных ассигнований на финансовое обеспечение расходных обязательств, возникающих в связи с организацией благоустройства дворовых территорий многоквартирных домов, территорий общего пользования (площадей, бульваров, улиц, набережных и парков), в объеме не менее 5 процентов от потребности;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постановлений Правительства Ульяновской области от 20.02.2019 </w:t>
      </w:r>
      <w:hyperlink r:id="rId7" w:history="1">
        <w:r>
          <w:rPr>
            <w:color w:val="0000FF"/>
          </w:rPr>
          <w:t>N 4/62-П</w:t>
        </w:r>
      </w:hyperlink>
      <w:r>
        <w:t xml:space="preserve">, от 17.07.2019 </w:t>
      </w:r>
      <w:hyperlink r:id="rId8" w:history="1">
        <w:r>
          <w:rPr>
            <w:color w:val="0000FF"/>
          </w:rPr>
          <w:t>N 14/336-П</w:t>
        </w:r>
      </w:hyperlink>
      <w:r>
        <w:t>)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3) наличие адресного перечня всех дворовых территорий многоквартирных домов,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Физическое состояние дворовой территории многоквартирного дома и необходимость ее благоустройства определяются по результатам инвентаризации дворовой территории, проведенной в порядке, установленном правовым актом </w:t>
      </w:r>
      <w:r>
        <w:lastRenderedPageBreak/>
        <w:t>Министерства энергетики, жилищно-коммунального комплекса и городской среды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20.02.2019 N 4/62-П)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4) наличие адресного перечня всех территорий общего пользования населенных пунктов, нуждающихся в благоустройстве (с учетом их физического состояния) и подлежащих благоустройству в указанный период. Физическое состояние территорий общего пользования и необходимость их благоустройства определяются по результатам инвентаризации территорий общего пользования, проведенной в порядке, установленном правовым актом Министерства энергетики, жилищно-коммунального комплекса и городской среды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20.02.2019 N 4/62-П)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>5) наличие адресного перечня объектов недвижимого имущества, включая объекты незавершенного строительства, а также земельные участки, находящиеся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соглашениями, заключенными с органами местного самоуправления поселений и городских округов Ульяновской области;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>6) выполнение мероприятий по инвентаризации уровня благоустройства индивидуальных жилых домов и земельных участков, предоставленных для их размещения, заключение по результатам инвентаризации соглашений с собственниками (пользователями) указанных домов, собственниками земельных участков и иными лицами, владеющими и пользующимися ими, о благоустройстве жилых домов и земельных участков не позднее 2020 года в соответствии с требованиями правил благоустройства территорий поселений (городских округов), утвержденных в</w:t>
      </w:r>
      <w:proofErr w:type="gramEnd"/>
      <w:r>
        <w:t xml:space="preserve"> установленном </w:t>
      </w:r>
      <w:proofErr w:type="gramStart"/>
      <w:r>
        <w:t>порядке</w:t>
      </w:r>
      <w:proofErr w:type="gramEnd"/>
      <w:r>
        <w:t>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7) наличие утвержденных органами местного самоуправления поселения (городского округа) Ульяновской области правил благоустройства территорий поселения (городского округа), разработанных с учетом методических рекомендаций, утвержденных Министерством строительства и жилищно-коммунального хозяйства Российской Федерации;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8) наличие перечня работ по благоустройству дворовых территорий многоквартирных домов и визуализированного перечня образцов элементов благоустройства, предполагаемых к размещению на дворовой территории, сформированного исходя из минимального перечня видов работ по благоустройству дворовых территорий многоквартирных домов: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ремонт дворовых проездов;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lastRenderedPageBreak/>
        <w:t>обеспечение освещения дворовых территорий;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установка скамеек;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установка урн;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9) наличие перечня работ по благоустройству дворовых территорий многоквартирных домов, сформированного исходя из дополнительного перечня видов работ по благоустройству дворовых территорий многоквартирных домов: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оборудование детских и (или) спортивных площадок;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оборудование парковок (парковочных мест);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озеленение территорий;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строительство тротуаров;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установка малых архитектурных форм;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10) финансовое и (или) трудовое участие заинтересованных лиц в реализации мероприятий по благоустройству дворовых территорий многоквартирных домов, расположенных на территории поселения (городского округа) Ульяновской области.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Трудовое участие заинтересованных лиц </w:t>
      </w:r>
      <w:proofErr w:type="gramStart"/>
      <w:r>
        <w:t>в реализации мероприятий по благоустройству дворовых территорий многоквартирных домов в соответствии с дополнительным перечнем видов работ по благоустройству</w:t>
      </w:r>
      <w:proofErr w:type="gramEnd"/>
      <w:r>
        <w:t xml:space="preserve"> дворовых территорий многоквартирных домов заключается в посадке кустарников и деревьев, покраске поверхностей конструкций, расположенных в границах дворовых территорий, очистке участков земли от твердых коммунальных отходов.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Финансовое участие заинтересованных лиц в реализации мероприятий по благоустройству дворовых территорий многоквартирных домов в рамках минимального перечня видов работ по благоустройству данных территорий должно заключаться в оплате не менее двух и не более пятнадцати процентов стоимости работ, выполняемых при осуществлении указанных мероприятий.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Финансовое участие заинтересованных лиц в реализации мероприятий по благоустройству дворовых территорий многоквартирных домов в рамках дополнительного перечня видов работ по благоустройству данных территорий должно заключаться в оплате не менее двух и не более пятидесяти процентов стоимости работ, выполняемых при осуществлении указанных мероприятий;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lastRenderedPageBreak/>
        <w:t xml:space="preserve">11) наличие утвержденного с учетом результатов обсуждения с представителями заинтересованных лиц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благоустройства каждой дворовой территории многоквартирного дома, включенной в муниципальную программу формирования современной городской среды, а также </w:t>
      </w:r>
      <w:proofErr w:type="spellStart"/>
      <w:r>
        <w:t>дизайн-проекта</w:t>
      </w:r>
      <w:proofErr w:type="spellEnd"/>
      <w:r>
        <w:t xml:space="preserve"> благоустройства наиболее посещаемой территории общего пользования поселения (городского округа)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12) наличие порядка аккумулирования и расходования средств заинтересованных лиц, направляемых на финансовое обеспечение выполнения работ, входящих в минимальный и дополнительный перечни видов работ по благоустройству дворовых территорий многоквартирных домов, и механизма </w:t>
      </w:r>
      <w:proofErr w:type="gramStart"/>
      <w:r>
        <w:t>контроля за</w:t>
      </w:r>
      <w:proofErr w:type="gramEnd"/>
      <w:r>
        <w:t xml:space="preserve"> их расходованием, а также порядка финансового и (или) трудового участия граждан в выполнении указанных работ.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7.2.3. Критериями отбора поселений (городских округов) Ульяновской области для предоставления субсидий из областного бюджета Ульяновской области являются: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1) наличие на территориях поселений и городских округов Ульяновской области многоквартирных домов;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2) наличие проектов комплексного благоустройства территорий общего пользования. Под проектом комплексного благоустройства территорий общего пользования понимается проект благоустройства, предусматривающий использование различных элементов благоустройства, а также функциональное разнообразие на объекте благоустройства в целях обеспечения привлекательности территории для разных групп населения;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3) уровень расчетной бюджетной обеспеченности поселения (городского округа) Ульяновской области после распределения дотации из областного бюджета Ульяновской области, рассчитанной в соответствии с законодательством Ульяновской области, меньше или равен 1;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4) наличие образованных земельных участков, на которых расположены многоквартирные дома, дворовые территории которых благоустраиваются за счет субсидии.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  <w:r>
        <w:t>(</w:t>
      </w:r>
      <w:proofErr w:type="spellStart"/>
      <w:r>
        <w:t>пп</w:t>
      </w:r>
      <w:proofErr w:type="spellEnd"/>
      <w:r>
        <w:t xml:space="preserve">. 4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Ульяновской области от 17.07.2019 N 14/336-П)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7.2.4. В рамках реализации мероприятия государственной программы "Предоставление субсидий бюджетам поселений и городских округов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организацией благоустройства дворовых территорий многоквартирных домов, территорий общего пользования (площадей, </w:t>
      </w:r>
      <w:r>
        <w:lastRenderedPageBreak/>
        <w:t>бульваров, улиц, набережных и парков)" расчет объема указанных субсидий осуществляется по формуле: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Ульяновской области от 20.02.2019 N 4/62-П)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  <w:position w:val="-81"/>
          <w:lang w:eastAsia="ru-RU"/>
        </w:rPr>
        <w:drawing>
          <wp:inline distT="0" distB="0" distL="0" distR="0">
            <wp:extent cx="3467100" cy="12115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 xml:space="preserve"> - объем бюджетных ассигнований, необходимых для предоставления субсидии бюджету i-го поселения или городского округа Ульяновской области, при этом показатель </w:t>
      </w:r>
      <w:proofErr w:type="spellStart"/>
      <w:r>
        <w:t>i</w:t>
      </w:r>
      <w:proofErr w:type="spellEnd"/>
      <w:r>
        <w:t xml:space="preserve"> учитывает поселение или городской округ Ульяновской области, уровень расчетной бюджетной обеспеченности которого меньше или равен 1;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Собщ</w:t>
      </w:r>
      <w:proofErr w:type="spellEnd"/>
      <w:r>
        <w:t xml:space="preserve"> - объем бюджетных ассигнований федерального бюджета, предусмотренных в текущем финансовом году на предоставление субсидий, распределяемых в соответствующем финансовом году;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В</w:t>
      </w:r>
      <w:proofErr w:type="gramStart"/>
      <w:r>
        <w:t>i</w:t>
      </w:r>
      <w:proofErr w:type="spellEnd"/>
      <w:proofErr w:type="gramEnd"/>
      <w:r>
        <w:t xml:space="preserve"> - численность населения i-го поселения или городского округа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518160" cy="3581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численность населения поселения или городского округа Ульяновской области, уровень расчетной бюджетной обеспеченности которого меньше или равен 1;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Ккор</w:t>
      </w:r>
      <w:proofErr w:type="spellEnd"/>
      <w:r>
        <w:t xml:space="preserve"> - коэффициент корректировки, значение которого определяется по формуле: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Ккор</w:t>
      </w:r>
      <w:proofErr w:type="spellEnd"/>
      <w:r>
        <w:t xml:space="preserve"> = </w:t>
      </w:r>
      <w:proofErr w:type="spellStart"/>
      <w:r>
        <w:t>Кмкд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Кмг</w:t>
      </w:r>
      <w:proofErr w:type="spellEnd"/>
      <w:r>
        <w:t>, где: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proofErr w:type="gramStart"/>
      <w:r>
        <w:t>Кмкд</w:t>
      </w:r>
      <w:proofErr w:type="spellEnd"/>
      <w:r>
        <w:t xml:space="preserve">, </w:t>
      </w:r>
      <w:proofErr w:type="spellStart"/>
      <w:r>
        <w:t>Кмг</w:t>
      </w:r>
      <w:proofErr w:type="spellEnd"/>
      <w:r>
        <w:t xml:space="preserve"> - индексы, присваиваемые поселению или городскому округу Ульяновской области в зависимости от количества многоквартирных домов, включенных в региональную программу капитального ремонта общего имущества в многоквартирных домах, утвержденную в установленном жилищным законодательством порядке, и от численности населения поселений и городских округов, расположенных на территории Ульяновской области, в соответствии с данными Федеральной службы государственной статистики;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РБО</w:t>
      </w:r>
      <w:proofErr w:type="gramStart"/>
      <w:r>
        <w:t>i</w:t>
      </w:r>
      <w:proofErr w:type="spellEnd"/>
      <w:proofErr w:type="gramEnd"/>
      <w:r>
        <w:t xml:space="preserve"> - уровень расчетной бюджетной обеспеченности i-го поселения или городского округа Ульяновской области на очередной финансовый год.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7.4. Предоставление субсидий из областного бюджета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Ульяновской области бюджетам поселений и городских округов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Ульяновской области в целях </w:t>
      </w:r>
      <w:proofErr w:type="spellStart"/>
      <w:r>
        <w:rPr>
          <w:b/>
          <w:bCs/>
        </w:rPr>
        <w:t>софинансирования</w:t>
      </w:r>
      <w:proofErr w:type="spellEnd"/>
      <w:r>
        <w:rPr>
          <w:b/>
          <w:bCs/>
        </w:rPr>
        <w:t xml:space="preserve"> расходных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обязательств, возникающих в связи с развитием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территориальных общественных самоуправлений, расположенных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в границах поселений и городских округов </w:t>
      </w:r>
      <w:proofErr w:type="gramStart"/>
      <w:r>
        <w:rPr>
          <w:b/>
          <w:bCs/>
        </w:rPr>
        <w:t>Ульяновской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области, в части мероприятий по благоустройству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7.4.1. Условиями предоставления субсидий из областного бюджета Ульяновской области бюджетам поселений и городских округов Ульяновской области являются: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>1) наличие утвержденной органами местного самоуправления поселения или городского округа Ульяновской области муниципальной программы формирования комфортной городской среды на 2018 - 2022 годы, предусматривающей мероприятия по благоустройству территорий, в границах которых осуществляется территориальное общественное самоуправление (далее - ТОС);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2) наличие утвержденного с учетом результатов обсуждения с гражданами, участвующими в осуществлении ТОС,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благоустройства территории, в границах которой осуществляется ТОС;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3) наличие в бюджете поселения (городского округа) Ульяновской области бюджетных ассигнований на финансовое обеспечение расходных обязательств, возникающих в связи развитием ТОС, в части мероприятий по благоустройству в объеме не менее 0,5 процента от потребности.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7.4.2. Критериями отбора поселений (городских округов) Ульяновской области для предоставления субсидий из областного бюджета Ульяновской области являются наличие у ТОС, осуществляемого в границах территории поселения (городского округа) Ульяновской области, статуса юридического лица в организационно-правовой форме некоммерческой организации.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7.4.3. </w:t>
      </w:r>
      <w:proofErr w:type="gramStart"/>
      <w:r>
        <w:t xml:space="preserve">В рамках реализации мероприятия государственной программы "Предоставление субсидий из областного бюджета Ульяновской области бюджетам поселений и городских округов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развитием территориальных общественных самоуправлений, расположенных в границах поселений и городских округов Ульяновской области, в части мероприятий по благоустройству" расчет объема указанных субсидий осуществляется по формуле:</w:t>
      </w:r>
      <w:proofErr w:type="gramEnd"/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Li</w:t>
      </w:r>
      <w:proofErr w:type="spellEnd"/>
      <w:r>
        <w:t xml:space="preserve"> = (Sмр70 </w:t>
      </w:r>
      <w:proofErr w:type="spellStart"/>
      <w:r>
        <w:t>x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/ </w:t>
      </w:r>
      <w:proofErr w:type="spellStart"/>
      <w:proofErr w:type="gramStart"/>
      <w:r>
        <w:t>N</w:t>
      </w:r>
      <w:proofErr w:type="gramEnd"/>
      <w:r>
        <w:t>общ</w:t>
      </w:r>
      <w:proofErr w:type="spellEnd"/>
      <w:r>
        <w:t xml:space="preserve">) + (Sмр30 </w:t>
      </w:r>
      <w:proofErr w:type="spellStart"/>
      <w:r>
        <w:t>x</w:t>
      </w:r>
      <w:proofErr w:type="spellEnd"/>
      <w:r>
        <w:t xml:space="preserve"> </w:t>
      </w:r>
      <w:proofErr w:type="spellStart"/>
      <w:r>
        <w:t>Тi</w:t>
      </w:r>
      <w:proofErr w:type="spellEnd"/>
      <w:r>
        <w:t xml:space="preserve"> / </w:t>
      </w:r>
      <w:proofErr w:type="spellStart"/>
      <w:r>
        <w:t>Тобщ</w:t>
      </w:r>
      <w:proofErr w:type="spellEnd"/>
      <w:r>
        <w:t>), где: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lastRenderedPageBreak/>
        <w:t>Li</w:t>
      </w:r>
      <w:proofErr w:type="spellEnd"/>
      <w:r>
        <w:t xml:space="preserve"> - объем субсидии, предоставляемой </w:t>
      </w:r>
      <w:proofErr w:type="spellStart"/>
      <w:r>
        <w:t>i-му</w:t>
      </w:r>
      <w:proofErr w:type="spellEnd"/>
      <w:r>
        <w:t xml:space="preserve"> поселению или городскому округу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развитием ТОС, в части мероприятий по благоустройству, тыс. рублей;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Sмр70 - объем субсидий, предоставляемых бюджетам поселений и городских округов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развитием ТОС, в части мероприятий по благоустройству, который составляет 70 процентов объема бюджетных ассигнований, предусмотренных в областном бюджете Ульяновской области, тыс. рублей;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Ni</w:t>
      </w:r>
      <w:proofErr w:type="spellEnd"/>
      <w:r>
        <w:t xml:space="preserve"> - численность населения, проживающего на территории, в границах которой осуществляется ТОС (старше 16 лет), по данным органов местного самоуправления поселения (городского округа) Ульяновской области по состоянию на 1 января года, в котором осуществляется распределение субсидий, человек;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proofErr w:type="gramStart"/>
      <w:r>
        <w:t>N</w:t>
      </w:r>
      <w:proofErr w:type="gramEnd"/>
      <w:r>
        <w:t>общ</w:t>
      </w:r>
      <w:proofErr w:type="spellEnd"/>
      <w:r>
        <w:t xml:space="preserve"> - общая численность населения поселения (городского округа) Ульяновской области, в границах территории которого осуществляется ТОС, по данным территориального органа Федеральной службы государственной статистики по состоянию на 1 января года, в котором осуществляется распределение субсидий, человек;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Sмр30 - объем субсидий, предоставляемых бюджету поселения (городского округа)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развитием ТОС, в части мероприятий по благоустройству, который составляет 30 процентов объема бюджетных ассигнований, предусмотренных в областном бюджете Ульяновской области, тыс. рублей;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Т</w:t>
      </w:r>
      <w:proofErr w:type="gramStart"/>
      <w:r>
        <w:t>i</w:t>
      </w:r>
      <w:proofErr w:type="spellEnd"/>
      <w:proofErr w:type="gramEnd"/>
      <w:r>
        <w:t xml:space="preserve"> - количество органов ТОС, находящихся на территории i-го поселения (городского округа) Ульяновской области, по состоянию на 1 декабря года, в котором осуществляется распределение субсидий, по данным, предоставленным органами местного самоуправления поселения (городского округа) Ульяновской области до 20 декабря года, в котором осуществляется распределение субсидий, единиц;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Тобщ</w:t>
      </w:r>
      <w:proofErr w:type="spellEnd"/>
      <w:r>
        <w:t xml:space="preserve"> - количество органов ТОС, находящихся на территориях поселений (городских округов) Ульяновской области, по состоянию на 1 декабря года, в котором осуществляется распределение субсидий, по данным, предоставленным органами местного самоуправления поселений и городских округов Ульяновской области до 20 декабря года, в котором осуществляется распределение субсидий, единиц.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jc w:val="center"/>
        <w:outlineLvl w:val="0"/>
        <w:rPr>
          <w:b/>
          <w:bCs/>
        </w:rPr>
      </w:pP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7.5. Предоставление субсидий из областного бюджета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Ульяновской области бюджетам поселений и городских округов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Ульяновской области в целях </w:t>
      </w:r>
      <w:proofErr w:type="spellStart"/>
      <w:r>
        <w:rPr>
          <w:b/>
          <w:bCs/>
        </w:rPr>
        <w:t>софинансирования</w:t>
      </w:r>
      <w:proofErr w:type="spellEnd"/>
      <w:r>
        <w:rPr>
          <w:b/>
          <w:bCs/>
        </w:rPr>
        <w:t xml:space="preserve"> расходных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обязательств, возникающих в связи с организацией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комплексного благоустройства территорий общего пользования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7.5.1. Субсидии предоставляются бюджетам поселений и городских округов Ульяновской области, в состав которых входят населенные пункты с численностью населения свыше 1000 человек.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7.5.2. Условиями предоставления субсидий из областного бюджета Ульяновской области бюджетам поселений и городских округов Ульяновской области являются: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 xml:space="preserve">1) наличие утвержденной органами местного самоуправления поселения или городского округа Ульяновской области, в состав которого входят населенные пункты с численностью населения свыше 1000 человек, муниципальной программы формирования комфортной городской среды на 2018 - 2022 годы, соответствующей </w:t>
      </w:r>
      <w:hyperlink r:id="rId15" w:history="1">
        <w:r>
          <w:rPr>
            <w:color w:val="0000FF"/>
          </w:rPr>
          <w:t>Правилам</w:t>
        </w:r>
      </w:hyperlink>
      <w: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комфортной городской</w:t>
      </w:r>
      <w:proofErr w:type="gramEnd"/>
      <w:r>
        <w:t xml:space="preserve"> среды, утвержденным постановлением Правительства Российской Федерации от 10.02.2017 N 169;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2) наличие в бюджете поселения (городского округа) Ульяновской области, в состав которых входят населенные пункты с численностью населения свыше 1000 человек, бюджетных ассигнований на финансовое обеспечение расходных обязательств, возникающих в связи с организацией комплексного благоустройства территорий общего пользования, в объеме не менее 20 процентов от потребности;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3) наличие адресного перечня всех территорий общего пользования, нуждающихся в благоустройстве (с учетом их физического состояния) и подлежащих благоустройству в указанный период. Физическое состояние территории общего пользования и необходимость ее благоустройства определяются по результатам инвентаризации территории общего пользования, проведенной в порядке, установленном правовым актом Министерства промышленности, строительства, жилищно-коммунального комплекса и транспорта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4) наличие утвержденных органами местного самоуправления поселений и городских округов Ульяновской </w:t>
      </w:r>
      <w:proofErr w:type="gramStart"/>
      <w:r>
        <w:t>области правил благоустройства территорий поселений</w:t>
      </w:r>
      <w:proofErr w:type="gramEnd"/>
      <w:r>
        <w:t xml:space="preserve"> и городских округов, в состав которых входят населенные пункты с численностью населения свыше 1000 человек, </w:t>
      </w:r>
      <w:r>
        <w:lastRenderedPageBreak/>
        <w:t>разработанных с учетом методических рекомендаций, утвержденных Министерством строительства и жилищно-коммунального хозяйства Российской Федерации;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5) наличие утвержденного с учетом результатов обсуждения с представителями заинтересованных лиц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благоустройства наиболее посещаемой территории общего пользования поселения (городского округа) Ульяновской области.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>7.5.3. Критерием отбора поселений (городских округов) Ульяновской области для предоставления субсидий из областного бюджета Ульяновской области является наличие проектов комплексного благоустройства территорий общего пользования.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7.5.4. В рамках реализации мероприятия государственной программы "Предоставление субсидий из областного бюджета Ульяновской области бюджетам поселений и городских округов Ульяновской области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организацией комплексного благоустройства территорий общего пользования" расчет объема указанных субсидий осуществляется по формуле: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Сi</w:t>
      </w:r>
      <w:proofErr w:type="spellEnd"/>
      <w:r>
        <w:t xml:space="preserve"> = СОБ / (</w:t>
      </w:r>
      <w:proofErr w:type="gramStart"/>
      <w:r>
        <w:t>П</w:t>
      </w:r>
      <w:proofErr w:type="gramEnd"/>
      <w:r>
        <w:t xml:space="preserve"> / </w:t>
      </w:r>
      <w:proofErr w:type="spellStart"/>
      <w:r>
        <w:t>Пi</w:t>
      </w:r>
      <w:proofErr w:type="spellEnd"/>
      <w:r>
        <w:t>), где:</w:t>
      </w: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jc w:val="both"/>
      </w:pPr>
    </w:p>
    <w:p w:rsidR="00500E1E" w:rsidRDefault="00500E1E" w:rsidP="00500E1E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 xml:space="preserve"> - объем субсидии, предоставляемой бюджету i-го поселения или городского округа Ульяновской области;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r>
        <w:t xml:space="preserve">СОБ - объем бюджетных ассигнований областного бюджета Ульяновской области на предоставление субсидий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возникающих в связи с организацией комплексного благоустройства территорий общего пользования;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gramStart"/>
      <w:r>
        <w:t>П</w:t>
      </w:r>
      <w:proofErr w:type="gramEnd"/>
      <w:r>
        <w:t xml:space="preserve"> - суммарный объем потребности поселений (городских округов) Ульяновской области в денежных средствах, необходимых для финансового обеспечения расходных обязательств, возникающих в связи с организацией комплексного благоустройства территорий общего пользования в текущем финансовом году;</w:t>
      </w:r>
    </w:p>
    <w:p w:rsidR="00500E1E" w:rsidRDefault="00500E1E" w:rsidP="00500E1E">
      <w:pPr>
        <w:autoSpaceDE w:val="0"/>
        <w:autoSpaceDN w:val="0"/>
        <w:adjustRightInd w:val="0"/>
        <w:spacing w:before="280" w:after="0" w:line="240" w:lineRule="auto"/>
        <w:ind w:firstLine="540"/>
        <w:jc w:val="both"/>
      </w:pPr>
      <w:proofErr w:type="spellStart"/>
      <w:r>
        <w:t>П</w:t>
      </w:r>
      <w:proofErr w:type="gramStart"/>
      <w:r>
        <w:t>i</w:t>
      </w:r>
      <w:proofErr w:type="spellEnd"/>
      <w:proofErr w:type="gramEnd"/>
      <w:r>
        <w:t xml:space="preserve"> - объем потребности i-го поселения (городского округа) Ульяновской области в денежных средствах, необходимых для финансового обеспечения расходных обязательств, возникающих в связи с организацией комплексного благоустройства территорий общего пользования в текущем финансовом году.</w:t>
      </w:r>
    </w:p>
    <w:p w:rsidR="00C0197F" w:rsidRDefault="00C0197F"/>
    <w:sectPr w:rsidR="00C0197F" w:rsidSect="007077F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E1E"/>
    <w:rsid w:val="00272BF6"/>
    <w:rsid w:val="002A2104"/>
    <w:rsid w:val="002F7113"/>
    <w:rsid w:val="00500E1E"/>
    <w:rsid w:val="00502CCD"/>
    <w:rsid w:val="00575D7E"/>
    <w:rsid w:val="007213C7"/>
    <w:rsid w:val="00735DE5"/>
    <w:rsid w:val="00867F19"/>
    <w:rsid w:val="00C0197F"/>
    <w:rsid w:val="00C25CA8"/>
    <w:rsid w:val="00C9667D"/>
    <w:rsid w:val="00CD6C54"/>
    <w:rsid w:val="00CE74FE"/>
    <w:rsid w:val="00D014EE"/>
    <w:rsid w:val="00D329C5"/>
    <w:rsid w:val="00E06280"/>
    <w:rsid w:val="00E54637"/>
    <w:rsid w:val="00E63034"/>
    <w:rsid w:val="00F140BB"/>
    <w:rsid w:val="00F368FC"/>
    <w:rsid w:val="00F7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E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BA8B286B851E3728762BBFBFB9118A006AD4FDC63A02DE6168133D194B9E1E14F5E1CA5493DA6DE76BA815C7C9325531A430C1FB53970C51532D28I1N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BA8B286B851E3728762BBFBFB9118A006AD4FDC63404DD6168133D194B9E1E14F5E1CA5493DA6DE76BA214C7C9325531A430C1FB53970C51532D28I1N" TargetMode="External"/><Relationship Id="rId12" Type="http://schemas.openxmlformats.org/officeDocument/2006/relationships/hyperlink" Target="consultantplus://offline/ref=45BA8B286B851E3728762BBFBFB9118A006AD4FDC63404DD6168133D194B9E1E14F5E1CA5493DA6DE76BA21AC7C9325531A430C1FB53970C51532D28I1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BA8B286B851E37287635B2A9D54F8004698FF4C03409893E3748604E42944953BAB888109EDB6DEE60FF4288C86E1362B732CEFB519E1325IAN" TargetMode="External"/><Relationship Id="rId11" Type="http://schemas.openxmlformats.org/officeDocument/2006/relationships/hyperlink" Target="consultantplus://offline/ref=45BA8B286B851E3728762BBFBFB9118A006AD4FDC63A02DE6168133D194B9E1E14F5E1CA5493DA6DE76BA814C7C9325531A430C1FB53970C51532D28I1N" TargetMode="External"/><Relationship Id="rId5" Type="http://schemas.openxmlformats.org/officeDocument/2006/relationships/hyperlink" Target="consultantplus://offline/ref=45BA8B286B851E3728762BBFBFB9118A006AD4FDC63404DD6168133D194B9E1E14F5E1CA5493DA6DE76BA216C7C9325531A430C1FB53970C51532D28I1N" TargetMode="External"/><Relationship Id="rId15" Type="http://schemas.openxmlformats.org/officeDocument/2006/relationships/hyperlink" Target="consultantplus://offline/ref=45BA8B286B851E37287635B2A9D54F8004698FF4C03409893E3748604E42944953BAB888109EDB6DEE60FF4288C86E1362B732CEFB519E1325IAN" TargetMode="External"/><Relationship Id="rId10" Type="http://schemas.openxmlformats.org/officeDocument/2006/relationships/hyperlink" Target="consultantplus://offline/ref=45BA8B286B851E3728762BBFBFB9118A006AD4FDC63404DD6168133D194B9E1E14F5E1CA5493DA6DE76BA21BC7C9325531A430C1FB53970C51532D28I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BA8B286B851E3728762BBFBFB9118A006AD4FDC63404DD6168133D194B9E1E14F5E1CA5493DA6DE76BA21BC7C9325531A430C1FB53970C51532D28I1N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40087-BE75-47AF-A7F1-0D0EB153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3087</Words>
  <Characters>17596</Characters>
  <Application>Microsoft Office Word</Application>
  <DocSecurity>0</DocSecurity>
  <Lines>146</Lines>
  <Paragraphs>41</Paragraphs>
  <ScaleCrop>false</ScaleCrop>
  <Company/>
  <LinksUpToDate>false</LinksUpToDate>
  <CharactersWithSpaces>20642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u55</dc:creator>
  <cp:keywords/>
  <dc:description/>
  <cp:lastModifiedBy>u55</cp:lastModifiedBy>
  <cp:revision>2</cp:revision>
  <dcterms:created xsi:type="dcterms:W3CDTF">2019-09-26T13:08:00Z</dcterms:created>
  <dcterms:modified xsi:type="dcterms:W3CDTF">2019-09-26T13:13:00Z</dcterms:modified>
</cp:coreProperties>
</file>